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left"/>
        <w:rPr>
          <w:b w:val="1"/>
        </w:rPr>
      </w:pPr>
      <w:r w:rsidDel="00000000" w:rsidR="00000000" w:rsidRPr="00000000">
        <w:rPr>
          <w:rtl w:val="0"/>
        </w:rPr>
      </w:r>
    </w:p>
    <w:p w:rsidR="00000000" w:rsidDel="00000000" w:rsidP="00000000" w:rsidRDefault="00000000" w:rsidRPr="00000000" w14:paraId="00000002">
      <w:pPr>
        <w:spacing w:line="240" w:lineRule="auto"/>
        <w:ind w:left="0" w:firstLine="0"/>
        <w:jc w:val="center"/>
        <w:rPr>
          <w:b w:val="1"/>
        </w:rPr>
      </w:pPr>
      <w:r w:rsidDel="00000000" w:rsidR="00000000" w:rsidRPr="00000000">
        <w:rPr>
          <w:rtl w:val="0"/>
        </w:rPr>
      </w:r>
    </w:p>
    <w:p w:rsidR="00000000" w:rsidDel="00000000" w:rsidP="00000000" w:rsidRDefault="00000000" w:rsidRPr="00000000" w14:paraId="00000003">
      <w:pPr>
        <w:spacing w:line="240" w:lineRule="auto"/>
        <w:ind w:left="0" w:firstLine="0"/>
        <w:jc w:val="center"/>
        <w:rPr>
          <w:b w:val="1"/>
          <w:highlight w:val="white"/>
        </w:rPr>
      </w:pPr>
      <w:r w:rsidDel="00000000" w:rsidR="00000000" w:rsidRPr="00000000">
        <w:rPr>
          <w:b w:val="1"/>
          <w:highlight w:val="white"/>
          <w:rtl w:val="0"/>
        </w:rPr>
        <w:t xml:space="preserve">Essilor y Anuar Layón juntos en pro de la visión de los mexicanos</w:t>
      </w:r>
    </w:p>
    <w:p w:rsidR="00000000" w:rsidDel="00000000" w:rsidP="00000000" w:rsidRDefault="00000000" w:rsidRPr="00000000" w14:paraId="00000004">
      <w:pPr>
        <w:spacing w:line="240" w:lineRule="auto"/>
        <w:ind w:left="0" w:firstLine="0"/>
        <w:jc w:val="center"/>
        <w:rPr>
          <w:b w:val="1"/>
          <w:highlight w:val="white"/>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highlight w:val="white"/>
          <w:u w:val="none"/>
        </w:rPr>
      </w:pPr>
      <w:r w:rsidDel="00000000" w:rsidR="00000000" w:rsidRPr="00000000">
        <w:rPr>
          <w:highlight w:val="white"/>
          <w:rtl w:val="0"/>
        </w:rPr>
        <w:t xml:space="preserve">El segundo jueves del mes de octubre se conmemora el Día Mundial de la Salud Visual. Para celebrarlo, </w:t>
      </w:r>
      <w:r w:rsidDel="00000000" w:rsidR="00000000" w:rsidRPr="00000000">
        <w:rPr>
          <w:rtl w:val="0"/>
        </w:rPr>
        <w:t xml:space="preserve">el líder mundial en óptica oftálmica</w:t>
      </w:r>
      <w:r w:rsidDel="00000000" w:rsidR="00000000" w:rsidRPr="00000000">
        <w:rPr>
          <w:highlight w:val="white"/>
          <w:rtl w:val="0"/>
        </w:rPr>
        <w:t xml:space="preserve"> </w:t>
      </w:r>
      <w:r w:rsidDel="00000000" w:rsidR="00000000" w:rsidRPr="00000000">
        <w:rPr>
          <w:b w:val="1"/>
          <w:rtl w:val="0"/>
        </w:rPr>
        <w:t xml:space="preserve">Essilor</w:t>
      </w:r>
      <w:r w:rsidDel="00000000" w:rsidR="00000000" w:rsidRPr="00000000">
        <w:rPr>
          <w:rtl w:val="0"/>
        </w:rPr>
        <w:t xml:space="preserve">® busca celebrar e incidir en las personas para atender su salud visual.</w:t>
      </w: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b w:val="1"/>
          <w:rtl w:val="0"/>
        </w:rPr>
        <w:t xml:space="preserve">Ciudad de México, 06 de octubre -</w:t>
      </w:r>
      <w:r w:rsidDel="00000000" w:rsidR="00000000" w:rsidRPr="00000000">
        <w:rPr>
          <w:highlight w:val="white"/>
          <w:rtl w:val="0"/>
        </w:rPr>
        <w:t xml:space="preserve"> El </w:t>
      </w:r>
      <w:r w:rsidDel="00000000" w:rsidR="00000000" w:rsidRPr="00000000">
        <w:rPr>
          <w:b w:val="1"/>
          <w:highlight w:val="white"/>
          <w:rtl w:val="0"/>
        </w:rPr>
        <w:t xml:space="preserve">Día Mundial de la Salud Visual</w:t>
      </w:r>
      <w:r w:rsidDel="00000000" w:rsidR="00000000" w:rsidRPr="00000000">
        <w:rPr>
          <w:highlight w:val="white"/>
          <w:rtl w:val="0"/>
        </w:rPr>
        <w:t xml:space="preserve"> que este año se celebra este 14 de octubre, </w:t>
      </w:r>
      <w:r w:rsidDel="00000000" w:rsidR="00000000" w:rsidRPr="00000000">
        <w:rPr>
          <w:rtl w:val="0"/>
        </w:rPr>
        <w:t xml:space="preserve">fue proclamado por la Organización Mundial de la Salud (OMS) y </w:t>
      </w:r>
      <w:r w:rsidDel="00000000" w:rsidR="00000000" w:rsidRPr="00000000">
        <w:rPr>
          <w:highlight w:val="white"/>
          <w:rtl w:val="0"/>
        </w:rPr>
        <w:t xml:space="preserve">el Organismo Internacional de Prevención de la Ceguera (IAPB) como una jornada internacional de sensibilización que centra la atención en el problema de discapacidad visual y anima a pensar en la importancia de la salud ocular. Su intención es educar al público e influir en los gobiernos para que participen en los programas nacionales de prevención y asignen fondos a los mismos. </w:t>
      </w:r>
    </w:p>
    <w:p w:rsidR="00000000" w:rsidDel="00000000" w:rsidP="00000000" w:rsidRDefault="00000000" w:rsidRPr="00000000" w14:paraId="00000009">
      <w:pPr>
        <w:pBdr>
          <w:left w:color="auto" w:space="45" w:sz="0" w:val="none"/>
        </w:pBdr>
        <w:shd w:fill="ffffff" w:val="clear"/>
        <w:spacing w:after="300" w:before="300" w:lineRule="auto"/>
        <w:jc w:val="both"/>
        <w:rPr>
          <w:highlight w:val="white"/>
        </w:rPr>
      </w:pPr>
      <w:r w:rsidDel="00000000" w:rsidR="00000000" w:rsidRPr="00000000">
        <w:rPr>
          <w:highlight w:val="white"/>
          <w:rtl w:val="0"/>
        </w:rPr>
        <w:t xml:space="preserve">En México, más del 45% de las personas </w:t>
      </w:r>
      <w:r w:rsidDel="00000000" w:rsidR="00000000" w:rsidRPr="00000000">
        <w:rPr>
          <w:highlight w:val="white"/>
          <w:rtl w:val="0"/>
        </w:rPr>
        <w:t xml:space="preserve">sufre</w:t>
      </w:r>
      <w:r w:rsidDel="00000000" w:rsidR="00000000" w:rsidRPr="00000000">
        <w:rPr>
          <w:highlight w:val="white"/>
          <w:rtl w:val="0"/>
        </w:rPr>
        <w:t xml:space="preserve"> algún problema de corrección visual, sobre todo miopía y astigmatismo. La </w:t>
      </w:r>
      <w:hyperlink r:id="rId6">
        <w:r w:rsidDel="00000000" w:rsidR="00000000" w:rsidRPr="00000000">
          <w:rPr>
            <w:color w:val="1155cc"/>
            <w:highlight w:val="white"/>
            <w:u w:val="single"/>
            <w:rtl w:val="0"/>
          </w:rPr>
          <w:t xml:space="preserve">Secretaría de Salud</w:t>
        </w:r>
      </w:hyperlink>
      <w:r w:rsidDel="00000000" w:rsidR="00000000" w:rsidRPr="00000000">
        <w:rPr>
          <w:highlight w:val="white"/>
          <w:rtl w:val="0"/>
        </w:rPr>
        <w:t xml:space="preserve"> establece que hay 700 mil casos de discapacidad ocular, como ceguera o debilidad adquirida por enfermedad, accidente o de forma congénita. Se considera que el crecimiento y envejecimiento de la población van a aumentar los casos.</w:t>
      </w:r>
    </w:p>
    <w:p w:rsidR="00000000" w:rsidDel="00000000" w:rsidP="00000000" w:rsidRDefault="00000000" w:rsidRPr="00000000" w14:paraId="0000000A">
      <w:pPr>
        <w:pBdr>
          <w:left w:color="auto" w:space="45" w:sz="0" w:val="none"/>
        </w:pBdr>
        <w:shd w:fill="ffffff" w:val="clear"/>
        <w:spacing w:after="300" w:before="300" w:lineRule="auto"/>
        <w:jc w:val="both"/>
        <w:rPr/>
      </w:pPr>
      <w:r w:rsidDel="00000000" w:rsidR="00000000" w:rsidRPr="00000000">
        <w:rPr>
          <w:highlight w:val="white"/>
          <w:rtl w:val="0"/>
        </w:rPr>
        <w:t xml:space="preserve">Para amplificar el mensaje de prevención e incentivar a que más personas se </w:t>
      </w:r>
      <w:r w:rsidDel="00000000" w:rsidR="00000000" w:rsidRPr="00000000">
        <w:rPr>
          <w:highlight w:val="white"/>
          <w:rtl w:val="0"/>
        </w:rPr>
        <w:t xml:space="preserve">atiendan</w:t>
      </w:r>
      <w:r w:rsidDel="00000000" w:rsidR="00000000" w:rsidRPr="00000000">
        <w:rPr>
          <w:highlight w:val="white"/>
          <w:rtl w:val="0"/>
        </w:rPr>
        <w:t xml:space="preserve">, </w:t>
      </w:r>
      <w:r w:rsidDel="00000000" w:rsidR="00000000" w:rsidRPr="00000000">
        <w:rPr>
          <w:b w:val="1"/>
          <w:highlight w:val="white"/>
          <w:rtl w:val="0"/>
        </w:rPr>
        <w:t xml:space="preserve">Essilor</w:t>
      </w:r>
      <w:r w:rsidDel="00000000" w:rsidR="00000000" w:rsidRPr="00000000">
        <w:rPr>
          <w:b w:val="1"/>
          <w:rtl w:val="0"/>
        </w:rPr>
        <w:t xml:space="preserve">®</w:t>
      </w:r>
      <w:r w:rsidDel="00000000" w:rsidR="00000000" w:rsidRPr="00000000">
        <w:rPr>
          <w:rtl w:val="0"/>
        </w:rPr>
        <w:t xml:space="preserve"> lanza su campaña del </w:t>
      </w:r>
      <w:r w:rsidDel="00000000" w:rsidR="00000000" w:rsidRPr="00000000">
        <w:rPr>
          <w:b w:val="1"/>
          <w:rtl w:val="0"/>
        </w:rPr>
        <w:t xml:space="preserve">Día Mundial de la Salud Visual</w:t>
      </w:r>
      <w:r w:rsidDel="00000000" w:rsidR="00000000" w:rsidRPr="00000000">
        <w:rPr>
          <w:rtl w:val="0"/>
        </w:rPr>
        <w:t xml:space="preserve"> y colabora, por segundo año consecutivo, con uno de los directores creativos y diseñadores de moda mexicanos más reconocidos: </w:t>
      </w:r>
      <w:r w:rsidDel="00000000" w:rsidR="00000000" w:rsidRPr="00000000">
        <w:rPr>
          <w:b w:val="1"/>
          <w:rtl w:val="0"/>
        </w:rPr>
        <w:t xml:space="preserve">Anuar Layón</w:t>
      </w:r>
      <w:r w:rsidDel="00000000" w:rsidR="00000000" w:rsidRPr="00000000">
        <w:rPr>
          <w:rtl w:val="0"/>
        </w:rPr>
        <w:t xml:space="preserve">, quien creó la famosa chaqueta </w:t>
      </w:r>
      <w:r w:rsidDel="00000000" w:rsidR="00000000" w:rsidRPr="00000000">
        <w:rPr>
          <w:i w:val="1"/>
          <w:rtl w:val="0"/>
        </w:rPr>
        <w:t xml:space="preserve">Mexico Is The Shit</w:t>
      </w:r>
      <w:r w:rsidDel="00000000" w:rsidR="00000000" w:rsidRPr="00000000">
        <w:rPr>
          <w:rtl w:val="0"/>
        </w:rPr>
        <w:t xml:space="preserve"> y los uniformes para los capacitadores del Instituto Nacional Electoral (INE) de 2021. </w:t>
      </w:r>
    </w:p>
    <w:p w:rsidR="00000000" w:rsidDel="00000000" w:rsidP="00000000" w:rsidRDefault="00000000" w:rsidRPr="00000000" w14:paraId="0000000B">
      <w:pPr>
        <w:pBdr>
          <w:left w:color="auto" w:space="45" w:sz="0" w:val="none"/>
        </w:pBdr>
        <w:shd w:fill="ffffff" w:val="clear"/>
        <w:spacing w:after="300" w:before="300" w:lineRule="auto"/>
        <w:jc w:val="both"/>
        <w:rPr/>
      </w:pPr>
      <w:r w:rsidDel="00000000" w:rsidR="00000000" w:rsidRPr="00000000">
        <w:rPr>
          <w:rtl w:val="0"/>
        </w:rPr>
        <w:t xml:space="preserve">De esta unión, surge la </w:t>
      </w:r>
      <w:r w:rsidDel="00000000" w:rsidR="00000000" w:rsidRPr="00000000">
        <w:rPr>
          <w:rtl w:val="0"/>
        </w:rPr>
        <w:t xml:space="preserve">V-Shirt edición 2021</w:t>
      </w:r>
      <w:r w:rsidDel="00000000" w:rsidR="00000000" w:rsidRPr="00000000">
        <w:rPr>
          <w:rtl w:val="0"/>
        </w:rPr>
        <w:t xml:space="preserve">, c</w:t>
      </w:r>
      <w:r w:rsidDel="00000000" w:rsidR="00000000" w:rsidRPr="00000000">
        <w:rPr>
          <w:rtl w:val="0"/>
        </w:rPr>
        <w:t xml:space="preserve">uyo objetivo es que las personas detecten fácilmente si sufren algún padecimiento visual</w:t>
      </w:r>
      <w:r w:rsidDel="00000000" w:rsidR="00000000" w:rsidRPr="00000000">
        <w:rPr>
          <w:rtl w:val="0"/>
        </w:rPr>
        <w:t xml:space="preserve">: su estampado </w:t>
      </w:r>
      <w:r w:rsidDel="00000000" w:rsidR="00000000" w:rsidRPr="00000000">
        <w:rPr>
          <w:highlight w:val="white"/>
          <w:rtl w:val="0"/>
        </w:rPr>
        <w:t xml:space="preserve">convierte a quien lo usa en un examen de la vista andante que evalúa la agudeza de todo aquel que intente leerlo</w:t>
      </w:r>
      <w:r w:rsidDel="00000000" w:rsidR="00000000" w:rsidRPr="00000000">
        <w:rPr>
          <w:highlight w:val="white"/>
          <w:rtl w:val="0"/>
        </w:rPr>
        <w:t xml:space="preserve"> e invita a visitar al especialista de la salud visual.</w:t>
      </w:r>
      <w:r w:rsidDel="00000000" w:rsidR="00000000" w:rsidRPr="00000000">
        <w:rPr>
          <w:rtl w:val="0"/>
        </w:rPr>
      </w:r>
    </w:p>
    <w:p w:rsidR="00000000" w:rsidDel="00000000" w:rsidP="00000000" w:rsidRDefault="00000000" w:rsidRPr="00000000" w14:paraId="0000000C">
      <w:pPr>
        <w:pBdr>
          <w:left w:color="auto" w:space="45" w:sz="0" w:val="none"/>
        </w:pBdr>
        <w:shd w:fill="ffffff" w:val="clear"/>
        <w:spacing w:after="300" w:before="300" w:lineRule="auto"/>
        <w:jc w:val="both"/>
        <w:rPr/>
      </w:pPr>
      <w:r w:rsidDel="00000000" w:rsidR="00000000" w:rsidRPr="00000000">
        <w:rPr>
          <w:rtl w:val="0"/>
        </w:rPr>
        <w:t xml:space="preserve">Quienes deseen unirse al reto de cuidar la visión de todos los mexicanos pueden celebrar este día con una visita a su especialista de la salud visual. Además, tienen la oportunidad de aportar, durante octubre, a la campaña de fondeo colectivo de </w:t>
      </w:r>
      <w:r w:rsidDel="00000000" w:rsidR="00000000" w:rsidRPr="00000000">
        <w:rPr>
          <w:b w:val="1"/>
          <w:rtl w:val="0"/>
        </w:rPr>
        <w:t xml:space="preserve">Essilor® </w:t>
      </w:r>
      <w:r w:rsidDel="00000000" w:rsidR="00000000" w:rsidRPr="00000000">
        <w:rPr>
          <w:rtl w:val="0"/>
        </w:rPr>
        <w:t xml:space="preserve">y </w:t>
      </w:r>
      <w:r w:rsidDel="00000000" w:rsidR="00000000" w:rsidRPr="00000000">
        <w:rPr>
          <w:b w:val="1"/>
          <w:rtl w:val="0"/>
        </w:rPr>
        <w:t xml:space="preserve">Donadora</w:t>
      </w:r>
      <w:r w:rsidDel="00000000" w:rsidR="00000000" w:rsidRPr="00000000">
        <w:rPr>
          <w:rtl w:val="0"/>
        </w:rPr>
        <w:t xml:space="preserve">, la cual beneficia la revisión y corrección visual de </w:t>
      </w:r>
      <w:r w:rsidDel="00000000" w:rsidR="00000000" w:rsidRPr="00000000">
        <w:rPr>
          <w:b w:val="1"/>
          <w:rtl w:val="0"/>
        </w:rPr>
        <w:t xml:space="preserve">3,000</w:t>
      </w:r>
      <w:r w:rsidDel="00000000" w:rsidR="00000000" w:rsidRPr="00000000">
        <w:rPr>
          <w:rtl w:val="0"/>
        </w:rPr>
        <w:t xml:space="preserve"> personas a través de las organizaciones </w:t>
      </w:r>
      <w:r w:rsidDel="00000000" w:rsidR="00000000" w:rsidRPr="00000000">
        <w:rPr>
          <w:b w:val="1"/>
          <w:rtl w:val="0"/>
        </w:rPr>
        <w:t xml:space="preserve">Programa Adopte un Talento, A.C. (PAUTA)</w:t>
      </w:r>
      <w:r w:rsidDel="00000000" w:rsidR="00000000" w:rsidRPr="00000000">
        <w:rPr>
          <w:sz w:val="21"/>
          <w:szCs w:val="21"/>
          <w:rtl w:val="0"/>
        </w:rPr>
        <w:t xml:space="preserve"> </w:t>
      </w:r>
      <w:r w:rsidDel="00000000" w:rsidR="00000000" w:rsidRPr="00000000">
        <w:rPr>
          <w:rtl w:val="0"/>
        </w:rPr>
        <w:t xml:space="preserve">y</w:t>
      </w:r>
      <w:r w:rsidDel="00000000" w:rsidR="00000000" w:rsidRPr="00000000">
        <w:rPr>
          <w:sz w:val="21"/>
          <w:szCs w:val="21"/>
          <w:rtl w:val="0"/>
        </w:rPr>
        <w:t xml:space="preserve"> </w:t>
      </w:r>
      <w:r w:rsidDel="00000000" w:rsidR="00000000" w:rsidRPr="00000000">
        <w:rPr>
          <w:b w:val="1"/>
          <w:rtl w:val="0"/>
        </w:rPr>
        <w:t xml:space="preserve">Hospital de la Ceguera, I.A.P. (APEC)</w:t>
      </w:r>
      <w:r w:rsidDel="00000000" w:rsidR="00000000" w:rsidRPr="00000000">
        <w:rPr>
          <w:rtl w:val="0"/>
        </w:rPr>
        <w:t xml:space="preserve"> que representan a grupos vulnerables: discapacitados, adultos de la tercera edad, niños, migrantes y más. Toda la información en </w:t>
      </w:r>
      <w:r w:rsidDel="00000000" w:rsidR="00000000" w:rsidRPr="00000000">
        <w:rPr>
          <w:b w:val="1"/>
          <w:rtl w:val="0"/>
        </w:rPr>
        <w:t xml:space="preserve">https://donadora.org/dmv</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pBdr>
          <w:left w:color="auto" w:space="45" w:sz="0" w:val="none"/>
        </w:pBdr>
        <w:shd w:fill="ffffff" w:val="clear"/>
        <w:spacing w:after="300" w:before="300" w:lineRule="auto"/>
        <w:jc w:val="both"/>
        <w:rPr>
          <w:highlight w:val="white"/>
        </w:rPr>
      </w:pPr>
      <w:r w:rsidDel="00000000" w:rsidR="00000000" w:rsidRPr="00000000">
        <w:rPr>
          <w:highlight w:val="white"/>
          <w:rtl w:val="0"/>
        </w:rPr>
        <w:t xml:space="preserve">Ver bien es vivir mejor, porque permite aprender, trabajar e interactuar plenamente con el mundo. Es hora de que los mexicanos se preocupen más por estos problemas, hagan donaciones a causas nobles, acudan con su especialista de salud visual y observen el mundo tan perfectamente como lo permitan la tecnología y los sistemas actuales. </w:t>
      </w:r>
    </w:p>
    <w:p w:rsidR="00000000" w:rsidDel="00000000" w:rsidP="00000000" w:rsidRDefault="00000000" w:rsidRPr="00000000" w14:paraId="0000000E">
      <w:pPr>
        <w:spacing w:line="276" w:lineRule="auto"/>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Acerca de Essilor</w:t>
      </w: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 y Costa®. También desarrolla y comercializa equipos, instrumentos y servicios para profesionales de la salud visual.</w:t>
      </w:r>
    </w:p>
    <w:p w:rsidR="00000000" w:rsidDel="00000000" w:rsidP="00000000" w:rsidRDefault="00000000" w:rsidRPr="00000000" w14:paraId="00000010">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Essilor reportó ingresos consolidados de alrededor de 8.6 billones de euros en 2019 y genera empleos para aproximadamente 74,000 personas a nivel internacional. Cuenta con 34 plantas, 481 laboratorios de prescripción y tallado, así como 4 centros de investigación y desarrollo en todo el mundo. </w:t>
      </w:r>
    </w:p>
    <w:p w:rsidR="00000000" w:rsidDel="00000000" w:rsidP="00000000" w:rsidRDefault="00000000" w:rsidRPr="00000000" w14:paraId="00000012">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Programa Adopte un Talento, A.C. (PAUTA)</w:t>
      </w:r>
    </w:p>
    <w:p w:rsidR="00000000" w:rsidDel="00000000" w:rsidP="00000000" w:rsidRDefault="00000000" w:rsidRPr="00000000" w14:paraId="00000014">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El Programa Adopte un Talento (PAUTA) es una Asociación Civil que desde hace 15 años forma a las y los nuevos agentes de cambio del país. Apostamos por la formación de seres humanos críticos y comprometidos con su entorno mediante el acercamiento temprano con la ciencia a niñas, niños y adolescentes de 4 a 18 años a través de talleres y clubes de ciencia. En estos espacios extracurriculares favorecemos el desarrollo de actividades lúdicas en donde se desarrolla el pensamiento crítico a través de una pasión compartida: la ciencia.</w:t>
      </w:r>
    </w:p>
    <w:p w:rsidR="00000000" w:rsidDel="00000000" w:rsidP="00000000" w:rsidRDefault="00000000" w:rsidRPr="00000000" w14:paraId="00000015">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Las y los participantes pueden permanecer hasta 14 años en el programa, lo que permite que puedan trabajar de cerca con la comunidad científica en el desarrollo de proyectos de investigación con impacto social a partir de las problemáticas que identifican en su comunidad. La implementación de estos proyectos les empodera para ser agentes de cambio en su entorno.</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Hospital de la Ceguera, I.A.P. (APEC)</w:t>
      </w:r>
    </w:p>
    <w:p w:rsidR="00000000" w:rsidDel="00000000" w:rsidP="00000000" w:rsidRDefault="00000000" w:rsidRPr="00000000" w14:paraId="00000019">
      <w:pPr>
        <w:jc w:val="both"/>
        <w:rPr>
          <w:rFonts w:ascii="Open Sans" w:cs="Open Sans" w:eastAsia="Open Sans" w:hAnsi="Open Sans"/>
          <w:sz w:val="16"/>
          <w:szCs w:val="16"/>
          <w:highlight w:val="white"/>
        </w:rPr>
      </w:pPr>
      <w:r w:rsidDel="00000000" w:rsidR="00000000" w:rsidRPr="00000000">
        <w:rPr>
          <w:rFonts w:ascii="Open Sans" w:cs="Open Sans" w:eastAsia="Open Sans" w:hAnsi="Open Sans"/>
          <w:sz w:val="16"/>
          <w:szCs w:val="16"/>
          <w:highlight w:val="white"/>
          <w:rtl w:val="0"/>
        </w:rPr>
        <w:t xml:space="preserve">Hospital de la Ceguera, I.A.P. (APEC) es una Institución de Asistencia Privada con la misión de ofrecer a enfermos de escasos recursos económicos, una atención oftalmológica médica y quirúrgica de alta calidad científica utilizando para ello equipos con tecnología de punta que nos permita ayudar a los pacientes para que se integren a la sociedad lo antes posible.</w:t>
      </w:r>
    </w:p>
    <w:p w:rsidR="00000000" w:rsidDel="00000000" w:rsidP="00000000" w:rsidRDefault="00000000" w:rsidRPr="00000000" w14:paraId="0000001A">
      <w:pPr>
        <w:jc w:val="both"/>
        <w:rPr>
          <w:rFonts w:ascii="Open Sans" w:cs="Open Sans" w:eastAsia="Open Sans" w:hAnsi="Open Sans"/>
          <w:sz w:val="16"/>
          <w:szCs w:val="16"/>
          <w:highlight w:val="white"/>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b w:val="1"/>
          <w:sz w:val="16"/>
          <w:szCs w:val="16"/>
        </w:rPr>
      </w:pPr>
      <w:r w:rsidDel="00000000" w:rsidR="00000000" w:rsidRPr="00000000">
        <w:rPr>
          <w:rFonts w:ascii="Open Sans" w:cs="Open Sans" w:eastAsia="Open Sans" w:hAnsi="Open Sans"/>
          <w:sz w:val="16"/>
          <w:szCs w:val="16"/>
          <w:highlight w:val="white"/>
          <w:rtl w:val="0"/>
        </w:rPr>
        <w:t xml:space="preserve">Somos un centro médico líder en la prestación de servicios, que forma médicos oftalmólogos generales y especialistas en las diferentes ramas de la oftalmología, y desarrolla protocolos de investigación que coadyuvan a consolidar los avances de la oftalmología que nos mantiene a la vanguardia de la especialidad.</w:t>
      </w: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F">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Víctor Sánchez</w:t>
      </w:r>
    </w:p>
    <w:p w:rsidR="00000000" w:rsidDel="00000000" w:rsidP="00000000" w:rsidRDefault="00000000" w:rsidRPr="00000000" w14:paraId="00000020">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1">
      <w:pPr>
        <w:spacing w:line="276" w:lineRule="auto"/>
        <w:jc w:val="both"/>
        <w:rPr/>
      </w:pPr>
      <w:hyperlink r:id="rId7">
        <w:r w:rsidDel="00000000" w:rsidR="00000000" w:rsidRPr="00000000">
          <w:rPr>
            <w:color w:val="1155cc"/>
            <w:sz w:val="20"/>
            <w:szCs w:val="20"/>
            <w:highlight w:val="white"/>
            <w:u w:val="single"/>
            <w:rtl w:val="0"/>
          </w:rPr>
          <w:t xml:space="preserve">victor.sanchez@another.co</w:t>
        </w:r>
      </w:hyperlink>
      <w:r w:rsidDel="00000000" w:rsidR="00000000" w:rsidRPr="00000000">
        <w:rPr>
          <w:rtl w:val="0"/>
        </w:rPr>
      </w:r>
    </w:p>
    <w:p w:rsidR="00000000" w:rsidDel="00000000" w:rsidP="00000000" w:rsidRDefault="00000000" w:rsidRPr="00000000" w14:paraId="00000022">
      <w:pPr>
        <w:spacing w:line="276" w:lineRule="auto"/>
        <w:jc w:val="both"/>
        <w:rPr>
          <w:b w:val="1"/>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976313" cy="11593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11593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uebla.gob.mx/prevencion/informate/item/1183-dia-mundial-de-la-vision" TargetMode="External"/><Relationship Id="rId7" Type="http://schemas.openxmlformats.org/officeDocument/2006/relationships/hyperlink" Target="mailto:victor.sanchez@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